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9020B"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FF5C0"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0395580" wp14:editId="7291F2B4">
                <wp:simplePos x="0" y="0"/>
                <wp:positionH relativeFrom="column">
                  <wp:posOffset>-634550</wp:posOffset>
                </wp:positionH>
                <wp:positionV relativeFrom="paragraph">
                  <wp:posOffset>411553</wp:posOffset>
                </wp:positionV>
                <wp:extent cx="6888626" cy="8107663"/>
                <wp:effectExtent l="0" t="0" r="7620" b="8255"/>
                <wp:wrapNone/>
                <wp:docPr id="850" name="Text Box 850"/>
                <wp:cNvGraphicFramePr/>
                <a:graphic xmlns:a="http://schemas.openxmlformats.org/drawingml/2006/main">
                  <a:graphicData uri="http://schemas.microsoft.com/office/word/2010/wordprocessingShape">
                    <wps:wsp>
                      <wps:cNvSpPr txBox="1"/>
                      <wps:spPr>
                        <a:xfrm>
                          <a:off x="0" y="0"/>
                          <a:ext cx="6888626" cy="8107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95580" id="Text Box 850" o:spid="_x0000_s1028" type="#_x0000_t202" style="position:absolute;margin-left:-49.95pt;margin-top:32.4pt;width:542.4pt;height:638.4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9egIAAG0FAAAOAAAAZHJzL2Uyb0RvYy54bWysVEtPGzEQvlfqf7B8L5sECGn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5MJuPRmDNJuslwcDYeHyc/xd7ch4hfFdQsCSUP&#10;9C6ZLrG+idhBt5AULYI11bWxNh9SL6hLG9ha0CtazEmS8z9Q1rGGUjk+HWTHDpJ559m65EblbujD&#10;7UvMEm6sShjrvivNTJUrfSO2kFK5XfyMTihNod5j2OP3Wb3HuKuDLHJkcLgzro2DkKvP47OnrPq5&#10;pUx3eHqbg7qTiO2ipcJLPtp2wAKqDTVGgG5mopfXhh7vRkS8F4GGhHqBBh/v6KMtEPnQS5wtIfx+&#10;6z7hqXdJy1lDQ1fy+GslguLMfnPU1Z+HJydpSvPh5PRsRIdwqFkcatyqvgTqiCGtGC+zmPBot6IO&#10;UD/RfpinqKQSTlLskuNWvMRuFdB+kWo+zyCaSy/wxj14mVwnllNrPrZPIvi+f5Fa/xa24ymmr9q4&#10;wyZLB/MVgja5xxPPHas9/zTTeUr6/ZOWxuE5o/ZbcvYCAAD//wMAUEsDBBQABgAIAAAAIQAAvL25&#10;4gAAAAsBAAAPAAAAZHJzL2Rvd25yZXYueG1sTI9NT4NAEIbvJv6HzZh4Me1SqViQpTFGbeLN4ke8&#10;bdkRiOwsYbeA/97xpMeZefLO8+bb2XZixMG3jhSslhEIpMqZlmoFL+XDYgPCB01Gd45QwTd62Ban&#10;J7nOjJvoGcd9qAWHkM+0giaEPpPSVw1a7ZeuR+LbpxusDjwOtTSDnjjcdvIyihJpdUv8odE93jVY&#10;fe2PVsHHRf3+5OfH1ym+ivv73Vhev5lSqfOz+fYGRMA5/MHwq8/qULDTwR3JeNEpWKRpyqiCZM0V&#10;GEg3a14cmIzXqwRkkcv/HYofAAAA//8DAFBLAQItABQABgAIAAAAIQC2gziS/gAAAOEBAAATAAAA&#10;AAAAAAAAAAAAAAAAAABbQ29udGVudF9UeXBlc10ueG1sUEsBAi0AFAAGAAgAAAAhADj9If/WAAAA&#10;lAEAAAsAAAAAAAAAAAAAAAAALwEAAF9yZWxzLy5yZWxzUEsBAi0AFAAGAAgAAAAhACZH3316AgAA&#10;bQUAAA4AAAAAAAAAAAAAAAAALgIAAGRycy9lMm9Eb2MueG1sUEsBAi0AFAAGAAgAAAAhAAC8vbn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br w:type="page"/>
      </w:r>
    </w:p>
    <w:p w14:paraId="266A0F67" w14:textId="77777777" w:rsidR="00F54166" w:rsidRDefault="00F54166" w:rsidP="00F54166">
      <w:pPr>
        <w:ind w:left="-993" w:right="-23"/>
      </w:pP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29B0D"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65A77"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28D75323" wp14:editId="679D22B4">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A741A7"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2118016" behindDoc="0" locked="0" layoutInCell="1" allowOverlap="1" wp14:anchorId="12494E0D" wp14:editId="21440977">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49.95pt;margin-top:34.85pt;width:542.4pt;height:591.9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002D3239">
        <w:br w:type="page"/>
      </w:r>
    </w:p>
    <w:p w14:paraId="1931D453" w14:textId="77777777" w:rsidR="00626921" w:rsidRDefault="00626921" w:rsidP="00626921">
      <w:pPr>
        <w:spacing w:after="200" w:line="276" w:lineRule="auto"/>
      </w:pPr>
    </w:p>
    <w:p w14:paraId="27AB37F7"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4A2BCB4F" wp14:editId="0D236E91">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1DAEB"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1088" behindDoc="0" locked="0" layoutInCell="1" allowOverlap="1" wp14:anchorId="2355747D" wp14:editId="2062A1A6">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FF3D"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9D940"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0DC81351" w:rsidR="00626921" w:rsidRDefault="008B3137"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6384D556" wp14:editId="6C738A55">
                <wp:simplePos x="0" y="0"/>
                <wp:positionH relativeFrom="column">
                  <wp:posOffset>-581660</wp:posOffset>
                </wp:positionH>
                <wp:positionV relativeFrom="paragraph">
                  <wp:posOffset>2090420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5.8pt;margin-top:164.6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zFWCvuMA&#10;AAALAQAADwAAAGRycy9kb3ducmV2LnhtbEyPy07DMBBF90j9B2sqsUGt86CPhDgVQkAldjRA1Z0b&#10;D0lEbEexm4S/Z1jBbkZzdOfcbDfplg3Yu8YaAeEyAIamtKoxlYC34mmxBea8NEq21qCAb3Swy2dX&#10;mUyVHc0rDgdfMQoxLpUCau+7lHNX1qilW9oODd0+ba+lp7WvuOrlSOG65VEQrLmWjaEPtezwocby&#10;63DRAk431fHFTc/vY7yKu8f9UGw+VCHE9Xy6vwPmcfJ/MPzqkzrk5HS2F6McawUsknBNqIA4SiJg&#10;RCTb5BbYmYZNuAKeZ/x/h/wHAAD//wMAUEsBAi0AFAAGAAgAAAAhALaDOJL+AAAA4QEAABMAAAAA&#10;AAAAAAAAAAAAAAAAAFtDb250ZW50X1R5cGVzXS54bWxQSwECLQAUAAYACAAAACEAOP0h/9YAAACU&#10;AQAACwAAAAAAAAAAAAAAAAAvAQAAX3JlbHMvLnJlbHNQSwECLQAUAAYACAAAACEAA5hdk3gCAABt&#10;BQAADgAAAAAAAAAAAAAAAAAuAgAAZHJzL2Uyb0RvYy54bWxQSwECLQAUAAYACAAAACEAzFWCvuMA&#10;AAALAQAADwAAAAAAAAAAAAAAAADSBAAAZHJzL2Rvd25yZXYueG1sUEsFBgAAAAAEAAQA8wAAAOIF&#10;AAA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CEF9BC9">
                <wp:simplePos x="0" y="0"/>
                <wp:positionH relativeFrom="column">
                  <wp:posOffset>-638175</wp:posOffset>
                </wp:positionH>
                <wp:positionV relativeFrom="paragraph">
                  <wp:posOffset>447040</wp:posOffset>
                </wp:positionV>
                <wp:extent cx="6888480" cy="1504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8.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lcegIAAG0FAAAOAAAAZHJzL2Uyb0RvYy54bWysVEtv2zAMvg/YfxB0X5x0aZcGdYqsRYYB&#10;RVusHXpWZKkRJouaxMTOfv0o2Xms66XDLjYlfnx9Inlx2daWbVSIBlzJR4MhZ8pJqIx7Lvn3x8WH&#10;CWcRhauEBadKvlWRX87ev7to/FSdwApspQIjJy5OG1/yFaKfFkWUK1WLOACvHCk1hFogHcNzUQXR&#10;kPfaFifD4VnRQKh8AKlipNvrTsln2b/WSuKd1lEhsyWn3DB/Q/4u07eYXYjpcxB+ZWSfhviHLGph&#10;HAXdu7oWKNg6mL9c1UYGiKBxIKEuQGsjVa6BqhkNX1TzsBJe5VqInOj3NMX/51bebh78fWDYfoaW&#10;HjAR0vg4jXSZ6ml1qNOfMmWkJwq3e9pUi0zS5dlkMhlPSCVJNzodjs9PM7HFwdyHiF8U1CwJJQ/0&#10;LpkusbmJSCEJuoOkaBGsqRbG2nxIvaCubGAbQa9oMSdJFn+grGMNpfKRQicjB8m882xdulG5G/pw&#10;hxKzhFurEsa6b0ozU+VKX4ktpFRuHz+jE0pTqLcY9vhDVm8x7uogixwZHO6Na+Mg5Orz+Bwoq37s&#10;KNMdngg/qjuJ2C5bKrzk57sOWEK1pcYI0M1M9HJh6PFuRMR7EWhI6MFp8PGOPtoCkQ+9xNkKwq/X&#10;7hOeepe0nDU0dCWPP9ciKM7sV0ddfT4aj9OU5sP49NMJHcKxZnmscev6CqgjRrRivMxiwqPdiTpA&#10;/UT7YZ6ikko4SbFLjjvxCrtVQPtFqvk8g2guvcAb9+Blcp1YTq352D6J4Pv+RWr9W9iNp5i+aOMO&#10;mywdzNcI2uQeTzx3rPb800zn1u/3T1oax+eMOmzJ2W8AAAD//wMAUEsDBBQABgAIAAAAIQAOWFYM&#10;4wAAAAsBAAAPAAAAZHJzL2Rvd25yZXYueG1sTI/LTsMwEEX3SPyDNZXYoNYuSUmbxqkQAiqxo+Eh&#10;dm48TSLicRS7Sfh7zAqWo3t075lsN5mWDdi7xpKE5UIAQyqtbqiS8Fo8ztfAnFekVWsJJXyjg11+&#10;eZGpVNuRXnA4+IqFEnKpklB736Wcu7JGo9zCdkghO9neKB/OvuK6V2MoNy2/EeKWG9VQWKhVh/c1&#10;ll+Hs5HweV19PLvp6W2MVlH3sB+K5F0XUl7NprstMI+T/4PhVz+oQx6cjvZM2rFWwnwpxCqwEhIR&#10;AwvEZh1HwI4SIpHEwPOM//8h/wEAAP//AwBQSwECLQAUAAYACAAAACEAtoM4kv4AAADhAQAAEwAA&#10;AAAAAAAAAAAAAAAAAAAAW0NvbnRlbnRfVHlwZXNdLnhtbFBLAQItABQABgAIAAAAIQA4/SH/1gAA&#10;AJQBAAALAAAAAAAAAAAAAAAAAC8BAABfcmVscy8ucmVsc1BLAQItABQABgAIAAAAIQAsCmlcegIA&#10;AG0FAAAOAAAAAAAAAAAAAAAAAC4CAABkcnMvZTJvRG9jLnhtbFBLAQItABQABgAIAAAAIQAOWFYM&#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27CB" w14:textId="77777777" w:rsidR="00930E68" w:rsidRDefault="00930E68" w:rsidP="00553ECF">
      <w:pPr>
        <w:spacing w:after="0" w:line="240" w:lineRule="auto"/>
      </w:pPr>
      <w:r>
        <w:separator/>
      </w:r>
    </w:p>
  </w:endnote>
  <w:endnote w:type="continuationSeparator" w:id="0">
    <w:p w14:paraId="1C82D2AB" w14:textId="77777777" w:rsidR="00930E68" w:rsidRDefault="00930E68"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362D" w14:textId="77777777" w:rsidR="00930E68" w:rsidRDefault="00930E68" w:rsidP="00553ECF">
      <w:pPr>
        <w:spacing w:after="0" w:line="240" w:lineRule="auto"/>
      </w:pPr>
      <w:r>
        <w:separator/>
      </w:r>
    </w:p>
  </w:footnote>
  <w:footnote w:type="continuationSeparator" w:id="0">
    <w:p w14:paraId="4EB7CFD6" w14:textId="77777777" w:rsidR="00930E68" w:rsidRDefault="00930E68"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035939">
    <w:abstractNumId w:val="0"/>
  </w:num>
  <w:num w:numId="2" w16cid:durableId="330448675">
    <w:abstractNumId w:val="5"/>
  </w:num>
  <w:num w:numId="3" w16cid:durableId="1034698624">
    <w:abstractNumId w:val="7"/>
  </w:num>
  <w:num w:numId="4" w16cid:durableId="501551363">
    <w:abstractNumId w:val="1"/>
  </w:num>
  <w:num w:numId="5" w16cid:durableId="1435711503">
    <w:abstractNumId w:val="3"/>
  </w:num>
  <w:num w:numId="6" w16cid:durableId="1339384051">
    <w:abstractNumId w:val="6"/>
  </w:num>
  <w:num w:numId="7" w16cid:durableId="1673945293">
    <w:abstractNumId w:val="8"/>
  </w:num>
  <w:num w:numId="8" w16cid:durableId="329648171">
    <w:abstractNumId w:val="2"/>
  </w:num>
  <w:num w:numId="9" w16cid:durableId="1000813046">
    <w:abstractNumId w:val="4"/>
  </w:num>
  <w:num w:numId="10" w16cid:durableId="179332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145635"/>
    <w:rsid w:val="001F7321"/>
    <w:rsid w:val="00242ED6"/>
    <w:rsid w:val="00251EA4"/>
    <w:rsid w:val="00261703"/>
    <w:rsid w:val="0029517B"/>
    <w:rsid w:val="002B66B2"/>
    <w:rsid w:val="002D3239"/>
    <w:rsid w:val="00304FDA"/>
    <w:rsid w:val="00305935"/>
    <w:rsid w:val="003221C9"/>
    <w:rsid w:val="00360E78"/>
    <w:rsid w:val="00377FF1"/>
    <w:rsid w:val="003A5B28"/>
    <w:rsid w:val="00476408"/>
    <w:rsid w:val="00476516"/>
    <w:rsid w:val="004B00E8"/>
    <w:rsid w:val="004C010C"/>
    <w:rsid w:val="004D408F"/>
    <w:rsid w:val="005519F5"/>
    <w:rsid w:val="00553ECF"/>
    <w:rsid w:val="00576BF4"/>
    <w:rsid w:val="00581FBB"/>
    <w:rsid w:val="005E76EC"/>
    <w:rsid w:val="006142B9"/>
    <w:rsid w:val="00621053"/>
    <w:rsid w:val="00621610"/>
    <w:rsid w:val="00626921"/>
    <w:rsid w:val="006A42D4"/>
    <w:rsid w:val="006D4467"/>
    <w:rsid w:val="006F0690"/>
    <w:rsid w:val="0074442D"/>
    <w:rsid w:val="007C7243"/>
    <w:rsid w:val="007D0270"/>
    <w:rsid w:val="007D22F7"/>
    <w:rsid w:val="007D7994"/>
    <w:rsid w:val="007F0C18"/>
    <w:rsid w:val="00805F64"/>
    <w:rsid w:val="00817F97"/>
    <w:rsid w:val="0084146D"/>
    <w:rsid w:val="008B3137"/>
    <w:rsid w:val="00930E68"/>
    <w:rsid w:val="00946046"/>
    <w:rsid w:val="0095482F"/>
    <w:rsid w:val="00966346"/>
    <w:rsid w:val="009B16C0"/>
    <w:rsid w:val="009B5BD5"/>
    <w:rsid w:val="009D3D94"/>
    <w:rsid w:val="009D6BBC"/>
    <w:rsid w:val="00A62F26"/>
    <w:rsid w:val="00A82C94"/>
    <w:rsid w:val="00AC0D40"/>
    <w:rsid w:val="00B51B9C"/>
    <w:rsid w:val="00B904BA"/>
    <w:rsid w:val="00BA496B"/>
    <w:rsid w:val="00BD4EC5"/>
    <w:rsid w:val="00BE6E6A"/>
    <w:rsid w:val="00BF661E"/>
    <w:rsid w:val="00C15A5B"/>
    <w:rsid w:val="00C15FFB"/>
    <w:rsid w:val="00C67FCB"/>
    <w:rsid w:val="00C95890"/>
    <w:rsid w:val="00CD3BE7"/>
    <w:rsid w:val="00CE0ED6"/>
    <w:rsid w:val="00D6799C"/>
    <w:rsid w:val="00D70248"/>
    <w:rsid w:val="00D7782C"/>
    <w:rsid w:val="00DD6DB1"/>
    <w:rsid w:val="00E16F16"/>
    <w:rsid w:val="00E6442F"/>
    <w:rsid w:val="00E76341"/>
    <w:rsid w:val="00E92F5C"/>
    <w:rsid w:val="00EE2B32"/>
    <w:rsid w:val="00F01C81"/>
    <w:rsid w:val="00F31BB8"/>
    <w:rsid w:val="00F54166"/>
    <w:rsid w:val="00F76189"/>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customXml/itemProps2.xml><?xml version="1.0" encoding="utf-8"?>
<ds:datastoreItem xmlns:ds="http://schemas.openxmlformats.org/officeDocument/2006/customXml" ds:itemID="{4ACB514B-9CE3-406B-9D9F-45862834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4.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2018-06-11T15:34:00Z</cp:lastPrinted>
  <dcterms:created xsi:type="dcterms:W3CDTF">2024-11-28T09:07:00Z</dcterms:created>
  <dcterms:modified xsi:type="dcterms:W3CDTF">2024-11-28T09:07:00Z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